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716" w:rsidRPr="001046F8" w:rsidRDefault="00F33716">
      <w:pPr>
        <w:pStyle w:val="NormalWeb"/>
        <w:adjustRightInd w:val="0"/>
        <w:snapToGrid w:val="0"/>
        <w:spacing w:before="0" w:beforeAutospacing="0" w:after="0" w:afterAutospacing="0" w:line="360" w:lineRule="atLeast"/>
        <w:ind w:right="45"/>
        <w:rPr>
          <w:rStyle w:val="Strong"/>
          <w:rFonts w:ascii="黑体" w:eastAsia="黑体" w:cs="方正小标宋简体"/>
          <w:b w:val="0"/>
          <w:sz w:val="28"/>
          <w:szCs w:val="28"/>
        </w:rPr>
      </w:pPr>
      <w:r w:rsidRPr="001046F8">
        <w:rPr>
          <w:rStyle w:val="Strong"/>
          <w:rFonts w:ascii="黑体" w:eastAsia="黑体" w:cs="方正小标宋简体" w:hint="eastAsia"/>
          <w:b w:val="0"/>
          <w:sz w:val="28"/>
          <w:szCs w:val="28"/>
        </w:rPr>
        <w:t>附件</w:t>
      </w:r>
      <w:r w:rsidRPr="001046F8">
        <w:rPr>
          <w:rStyle w:val="Strong"/>
          <w:rFonts w:ascii="黑体" w:eastAsia="黑体" w:cs="方正小标宋简体"/>
          <w:b w:val="0"/>
          <w:sz w:val="28"/>
          <w:szCs w:val="28"/>
        </w:rPr>
        <w:t>5</w:t>
      </w:r>
    </w:p>
    <w:p w:rsidR="00F33716" w:rsidRDefault="00F33716">
      <w:pPr>
        <w:pStyle w:val="NormalWeb"/>
        <w:adjustRightInd w:val="0"/>
        <w:snapToGrid w:val="0"/>
        <w:spacing w:before="0" w:beforeAutospacing="0" w:after="0" w:afterAutospacing="0" w:line="360" w:lineRule="atLeast"/>
        <w:ind w:right="45"/>
        <w:rPr>
          <w:rStyle w:val="Strong"/>
          <w:rFonts w:ascii="方正小标宋简体" w:eastAsia="方正小标宋简体" w:cs="方正小标宋简体"/>
          <w:b w:val="0"/>
          <w:sz w:val="36"/>
          <w:szCs w:val="36"/>
        </w:rPr>
      </w:pPr>
    </w:p>
    <w:p w:rsidR="00F33716" w:rsidRDefault="00F33716">
      <w:pPr>
        <w:spacing w:line="560" w:lineRule="exact"/>
        <w:jc w:val="center"/>
        <w:rPr>
          <w:rFonts w:ascii="华文中宋" w:eastAsia="华文中宋" w:hAnsi="华文中宋" w:cs="方正小标宋简体"/>
          <w:bCs/>
          <w:color w:val="323232"/>
          <w:sz w:val="44"/>
          <w:szCs w:val="44"/>
        </w:rPr>
      </w:pPr>
      <w:r w:rsidRPr="001046F8">
        <w:rPr>
          <w:rFonts w:ascii="华文中宋" w:eastAsia="华文中宋" w:hAnsi="华文中宋" w:cs="方正小标宋简体" w:hint="eastAsia"/>
          <w:bCs/>
          <w:color w:val="323232"/>
          <w:sz w:val="44"/>
          <w:szCs w:val="44"/>
        </w:rPr>
        <w:t>南阳市市级预算绩效评价结果应用</w:t>
      </w:r>
    </w:p>
    <w:p w:rsidR="00F33716" w:rsidRPr="001046F8" w:rsidRDefault="00F33716">
      <w:pPr>
        <w:spacing w:line="560" w:lineRule="exact"/>
        <w:jc w:val="center"/>
        <w:rPr>
          <w:rFonts w:ascii="华文中宋" w:eastAsia="华文中宋" w:hAnsi="华文中宋" w:cs="Times New Roman"/>
          <w:color w:val="323232"/>
          <w:sz w:val="44"/>
          <w:szCs w:val="44"/>
        </w:rPr>
      </w:pPr>
      <w:r w:rsidRPr="001046F8">
        <w:rPr>
          <w:rFonts w:ascii="华文中宋" w:eastAsia="华文中宋" w:hAnsi="华文中宋" w:cs="方正小标宋简体" w:hint="eastAsia"/>
          <w:bCs/>
          <w:color w:val="323232"/>
          <w:sz w:val="44"/>
          <w:szCs w:val="44"/>
        </w:rPr>
        <w:t>管</w:t>
      </w:r>
      <w:r>
        <w:rPr>
          <w:rFonts w:ascii="华文中宋" w:eastAsia="华文中宋" w:hAnsi="华文中宋" w:cs="方正小标宋简体"/>
          <w:bCs/>
          <w:color w:val="323232"/>
          <w:sz w:val="44"/>
          <w:szCs w:val="44"/>
        </w:rPr>
        <w:t xml:space="preserve"> </w:t>
      </w:r>
      <w:r w:rsidRPr="001046F8">
        <w:rPr>
          <w:rFonts w:ascii="华文中宋" w:eastAsia="华文中宋" w:hAnsi="华文中宋" w:cs="方正小标宋简体" w:hint="eastAsia"/>
          <w:bCs/>
          <w:color w:val="323232"/>
          <w:sz w:val="44"/>
          <w:szCs w:val="44"/>
        </w:rPr>
        <w:t>理</w:t>
      </w:r>
      <w:r>
        <w:rPr>
          <w:rFonts w:ascii="华文中宋" w:eastAsia="华文中宋" w:hAnsi="华文中宋" w:cs="方正小标宋简体"/>
          <w:bCs/>
          <w:color w:val="323232"/>
          <w:sz w:val="44"/>
          <w:szCs w:val="44"/>
        </w:rPr>
        <w:t xml:space="preserve"> </w:t>
      </w:r>
      <w:r w:rsidRPr="001046F8">
        <w:rPr>
          <w:rFonts w:ascii="华文中宋" w:eastAsia="华文中宋" w:hAnsi="华文中宋" w:cs="方正小标宋简体" w:hint="eastAsia"/>
          <w:bCs/>
          <w:color w:val="323232"/>
          <w:sz w:val="44"/>
          <w:szCs w:val="44"/>
        </w:rPr>
        <w:t>办</w:t>
      </w:r>
      <w:r>
        <w:rPr>
          <w:rFonts w:ascii="华文中宋" w:eastAsia="华文中宋" w:hAnsi="华文中宋" w:cs="方正小标宋简体"/>
          <w:bCs/>
          <w:color w:val="323232"/>
          <w:sz w:val="44"/>
          <w:szCs w:val="44"/>
        </w:rPr>
        <w:t xml:space="preserve"> </w:t>
      </w:r>
      <w:r w:rsidRPr="001046F8">
        <w:rPr>
          <w:rFonts w:ascii="华文中宋" w:eastAsia="华文中宋" w:hAnsi="华文中宋" w:cs="方正小标宋简体" w:hint="eastAsia"/>
          <w:bCs/>
          <w:color w:val="323232"/>
          <w:sz w:val="44"/>
          <w:szCs w:val="44"/>
        </w:rPr>
        <w:t>法</w:t>
      </w:r>
    </w:p>
    <w:p w:rsidR="00F33716" w:rsidRDefault="00F33716">
      <w:pPr>
        <w:spacing w:line="560" w:lineRule="exact"/>
        <w:jc w:val="center"/>
        <w:rPr>
          <w:rFonts w:ascii="仿宋" w:eastAsia="仿宋" w:hAnsi="仿宋" w:cs="Times New Roman"/>
          <w:color w:val="323232"/>
          <w:sz w:val="32"/>
          <w:szCs w:val="32"/>
        </w:rPr>
      </w:pPr>
    </w:p>
    <w:p w:rsidR="00F33716" w:rsidRDefault="00F33716">
      <w:pPr>
        <w:spacing w:line="560" w:lineRule="exact"/>
        <w:jc w:val="center"/>
        <w:rPr>
          <w:rFonts w:ascii="黑体" w:eastAsia="黑体" w:hAnsi="黑体" w:cs="Times New Roman"/>
          <w:color w:val="323232"/>
          <w:sz w:val="32"/>
          <w:szCs w:val="32"/>
        </w:rPr>
      </w:pPr>
      <w:bookmarkStart w:id="0" w:name="_GoBack"/>
      <w:bookmarkEnd w:id="0"/>
      <w:r>
        <w:rPr>
          <w:rFonts w:ascii="黑体" w:eastAsia="黑体" w:hAnsi="黑体" w:cs="黑体" w:hint="eastAsia"/>
          <w:color w:val="323232"/>
          <w:sz w:val="32"/>
          <w:szCs w:val="32"/>
        </w:rPr>
        <w:t>第一章</w:t>
      </w:r>
      <w:r>
        <w:rPr>
          <w:rFonts w:ascii="黑体" w:eastAsia="黑体" w:hAnsi="黑体" w:cs="黑体"/>
          <w:color w:val="323232"/>
          <w:sz w:val="32"/>
          <w:szCs w:val="32"/>
        </w:rPr>
        <w:t xml:space="preserve"> </w:t>
      </w:r>
      <w:r>
        <w:rPr>
          <w:rFonts w:ascii="黑体" w:eastAsia="黑体" w:hAnsi="黑体" w:cs="黑体" w:hint="eastAsia"/>
          <w:color w:val="323232"/>
          <w:sz w:val="32"/>
          <w:szCs w:val="32"/>
        </w:rPr>
        <w:t>总则</w:t>
      </w:r>
    </w:p>
    <w:p w:rsidR="00F33716" w:rsidRDefault="00F33716">
      <w:pPr>
        <w:spacing w:line="600" w:lineRule="exact"/>
        <w:ind w:firstLineChars="200" w:firstLine="643"/>
        <w:rPr>
          <w:rFonts w:eastAsia="仿宋_GB2312" w:cs="仿宋_GB2312"/>
          <w:sz w:val="32"/>
          <w:szCs w:val="32"/>
        </w:rPr>
      </w:pPr>
      <w:r>
        <w:rPr>
          <w:rFonts w:eastAsia="仿宋_GB2312" w:cs="仿宋_GB2312" w:hint="eastAsia"/>
          <w:b/>
          <w:bCs/>
          <w:sz w:val="32"/>
          <w:szCs w:val="32"/>
        </w:rPr>
        <w:t>第一条</w:t>
      </w:r>
      <w:r>
        <w:rPr>
          <w:rFonts w:eastAsia="仿宋_GB2312" w:cs="仿宋_GB2312"/>
          <w:b/>
          <w:bCs/>
          <w:sz w:val="32"/>
          <w:szCs w:val="32"/>
        </w:rPr>
        <w:t xml:space="preserve"> </w:t>
      </w:r>
      <w:r>
        <w:rPr>
          <w:rFonts w:eastAsia="仿宋_GB2312" w:cs="仿宋_GB2312" w:hint="eastAsia"/>
          <w:sz w:val="32"/>
          <w:szCs w:val="32"/>
        </w:rPr>
        <w:t>为加强市级财政预算绩效评价结果应用，强化绩效理念和支出责任，提高财政资金使用效益，全面实施绩效管理，根据《中华人民共和国预算法》《中共中央</w:t>
      </w:r>
      <w:r>
        <w:rPr>
          <w:rFonts w:eastAsia="仿宋_GB2312" w:cs="仿宋_GB2312"/>
          <w:sz w:val="32"/>
          <w:szCs w:val="32"/>
        </w:rPr>
        <w:t xml:space="preserve"> </w:t>
      </w:r>
      <w:r>
        <w:rPr>
          <w:rFonts w:eastAsia="仿宋_GB2312" w:cs="仿宋_GB2312" w:hint="eastAsia"/>
          <w:sz w:val="32"/>
          <w:szCs w:val="32"/>
        </w:rPr>
        <w:t>国务院关于全面实施预算绩效管理的意见》</w:t>
      </w:r>
      <w:r>
        <w:rPr>
          <w:rFonts w:ascii="仿宋_GB2312" w:eastAsia="仿宋_GB2312" w:hint="eastAsia"/>
          <w:sz w:val="32"/>
          <w:szCs w:val="32"/>
        </w:rPr>
        <w:t>《中共河南省委</w:t>
      </w:r>
      <w:r>
        <w:rPr>
          <w:rFonts w:ascii="仿宋_GB2312" w:eastAsia="仿宋_GB2312"/>
          <w:sz w:val="32"/>
          <w:szCs w:val="32"/>
        </w:rPr>
        <w:t xml:space="preserve"> </w:t>
      </w:r>
      <w:r>
        <w:rPr>
          <w:rFonts w:ascii="仿宋_GB2312" w:eastAsia="仿宋_GB2312" w:hint="eastAsia"/>
          <w:sz w:val="32"/>
          <w:szCs w:val="32"/>
        </w:rPr>
        <w:t>河南省人民政府关于全面实施预算绩效管理的实施意见》</w:t>
      </w:r>
      <w:r>
        <w:rPr>
          <w:rFonts w:eastAsia="仿宋_GB2312" w:cs="仿宋_GB2312" w:hint="eastAsia"/>
          <w:sz w:val="32"/>
          <w:szCs w:val="32"/>
        </w:rPr>
        <w:t>等有关规定，参考《河南省省级预算绩效评价结果应用管理办法》相关要求，结合市级实际，制定本办法。</w:t>
      </w:r>
    </w:p>
    <w:p w:rsidR="00F33716" w:rsidRDefault="00F33716">
      <w:pPr>
        <w:spacing w:line="600" w:lineRule="exact"/>
        <w:ind w:firstLineChars="200" w:firstLine="643"/>
        <w:rPr>
          <w:rFonts w:eastAsia="仿宋_GB2312" w:cs="Times New Roman"/>
          <w:sz w:val="32"/>
          <w:szCs w:val="32"/>
        </w:rPr>
      </w:pPr>
      <w:r>
        <w:rPr>
          <w:rFonts w:eastAsia="仿宋_GB2312" w:cs="仿宋_GB2312" w:hint="eastAsia"/>
          <w:b/>
          <w:bCs/>
          <w:sz w:val="32"/>
          <w:szCs w:val="32"/>
        </w:rPr>
        <w:t>第二条</w:t>
      </w:r>
      <w:r>
        <w:rPr>
          <w:rFonts w:eastAsia="仿宋_GB2312" w:cs="仿宋_GB2312"/>
          <w:b/>
          <w:bCs/>
          <w:sz w:val="32"/>
          <w:szCs w:val="32"/>
        </w:rPr>
        <w:t xml:space="preserve"> </w:t>
      </w:r>
      <w:r>
        <w:rPr>
          <w:rFonts w:eastAsia="仿宋_GB2312" w:cs="仿宋_GB2312" w:hint="eastAsia"/>
          <w:sz w:val="32"/>
          <w:szCs w:val="32"/>
        </w:rPr>
        <w:t>市级预算绩效评价结果</w:t>
      </w:r>
      <w:r>
        <w:rPr>
          <w:rFonts w:eastAsia="仿宋_GB2312" w:hint="eastAsia"/>
          <w:sz w:val="32"/>
          <w:szCs w:val="32"/>
        </w:rPr>
        <w:t>（</w:t>
      </w:r>
      <w:r>
        <w:rPr>
          <w:rFonts w:eastAsia="仿宋_GB2312" w:cs="仿宋_GB2312" w:hint="eastAsia"/>
          <w:sz w:val="32"/>
          <w:szCs w:val="32"/>
        </w:rPr>
        <w:t>以下称“绩效评价结果”</w:t>
      </w:r>
      <w:r>
        <w:rPr>
          <w:rFonts w:eastAsia="仿宋_GB2312" w:hint="eastAsia"/>
          <w:sz w:val="32"/>
          <w:szCs w:val="32"/>
        </w:rPr>
        <w:t>）</w:t>
      </w:r>
      <w:r>
        <w:rPr>
          <w:rFonts w:eastAsia="仿宋_GB2312" w:cs="仿宋_GB2312" w:hint="eastAsia"/>
          <w:sz w:val="32"/>
          <w:szCs w:val="32"/>
        </w:rPr>
        <w:t>是指市财政局和市级部门根据预算绩效管理相关规定，采用科学合理的评价指标、评价标准和评价方法，对市级预算安排的部门预算及转移支付资金进行绩效评价所形成的评价结论和意见等，以绩效评价报告为载体。</w:t>
      </w:r>
    </w:p>
    <w:p w:rsidR="00F33716" w:rsidRDefault="00F33716">
      <w:pPr>
        <w:spacing w:line="600" w:lineRule="exact"/>
        <w:ind w:firstLineChars="200" w:firstLine="643"/>
        <w:rPr>
          <w:rFonts w:eastAsia="仿宋_GB2312" w:cs="Times New Roman"/>
          <w:sz w:val="32"/>
          <w:szCs w:val="32"/>
        </w:rPr>
      </w:pPr>
      <w:r>
        <w:rPr>
          <w:rFonts w:eastAsia="仿宋_GB2312" w:cs="仿宋_GB2312" w:hint="eastAsia"/>
          <w:b/>
          <w:bCs/>
          <w:sz w:val="32"/>
          <w:szCs w:val="32"/>
        </w:rPr>
        <w:t>第三条</w:t>
      </w:r>
      <w:r>
        <w:rPr>
          <w:rFonts w:eastAsia="仿宋_GB2312" w:cs="仿宋_GB2312"/>
          <w:b/>
          <w:bCs/>
          <w:sz w:val="32"/>
          <w:szCs w:val="32"/>
        </w:rPr>
        <w:t xml:space="preserve"> </w:t>
      </w:r>
      <w:r>
        <w:rPr>
          <w:rFonts w:eastAsia="仿宋_GB2312" w:cs="仿宋_GB2312" w:hint="eastAsia"/>
          <w:sz w:val="32"/>
          <w:szCs w:val="32"/>
        </w:rPr>
        <w:t>绩效评价结果应用是全过程预算绩效管理的落脚点，应当遵循实事求是、公平公正、权责统一、绩效奖惩与问责相结合的原则。</w:t>
      </w:r>
    </w:p>
    <w:p w:rsidR="00F33716" w:rsidRDefault="00F33716">
      <w:pPr>
        <w:spacing w:line="600" w:lineRule="exact"/>
        <w:ind w:firstLineChars="200" w:firstLine="643"/>
        <w:rPr>
          <w:rFonts w:eastAsia="仿宋_GB2312" w:cs="Times New Roman"/>
          <w:sz w:val="32"/>
          <w:szCs w:val="32"/>
        </w:rPr>
      </w:pPr>
      <w:r>
        <w:rPr>
          <w:rFonts w:eastAsia="仿宋_GB2312" w:cs="仿宋_GB2312" w:hint="eastAsia"/>
          <w:b/>
          <w:bCs/>
          <w:sz w:val="32"/>
          <w:szCs w:val="32"/>
        </w:rPr>
        <w:t>第四条</w:t>
      </w:r>
      <w:r>
        <w:rPr>
          <w:rFonts w:eastAsia="仿宋_GB2312" w:cs="仿宋_GB2312"/>
          <w:b/>
          <w:bCs/>
          <w:sz w:val="32"/>
          <w:szCs w:val="32"/>
        </w:rPr>
        <w:t xml:space="preserve"> </w:t>
      </w:r>
      <w:r>
        <w:rPr>
          <w:rFonts w:eastAsia="仿宋_GB2312" w:cs="仿宋_GB2312" w:hint="eastAsia"/>
          <w:sz w:val="32"/>
          <w:szCs w:val="32"/>
        </w:rPr>
        <w:t>绩效评价结果应用的方式主要包括：反馈与整改、报告与公开、与预算安排挂钩、综合考核奖惩等。</w:t>
      </w:r>
    </w:p>
    <w:p w:rsidR="00F33716" w:rsidRDefault="00F33716">
      <w:pPr>
        <w:spacing w:line="600" w:lineRule="exact"/>
        <w:ind w:firstLineChars="200" w:firstLine="643"/>
        <w:rPr>
          <w:rFonts w:eastAsia="仿宋_GB2312" w:cs="Times New Roman"/>
          <w:sz w:val="32"/>
          <w:szCs w:val="32"/>
        </w:rPr>
      </w:pPr>
      <w:r>
        <w:rPr>
          <w:rFonts w:eastAsia="仿宋_GB2312" w:cs="仿宋_GB2312" w:hint="eastAsia"/>
          <w:b/>
          <w:bCs/>
          <w:sz w:val="32"/>
          <w:szCs w:val="32"/>
        </w:rPr>
        <w:t>第五条</w:t>
      </w:r>
      <w:r>
        <w:rPr>
          <w:rFonts w:eastAsia="仿宋_GB2312" w:cs="仿宋_GB2312"/>
          <w:b/>
          <w:bCs/>
          <w:sz w:val="32"/>
          <w:szCs w:val="32"/>
        </w:rPr>
        <w:t xml:space="preserve"> </w:t>
      </w:r>
      <w:r>
        <w:rPr>
          <w:rFonts w:eastAsia="仿宋_GB2312" w:cs="仿宋_GB2312" w:hint="eastAsia"/>
          <w:sz w:val="32"/>
          <w:szCs w:val="32"/>
        </w:rPr>
        <w:t>市财政局和市级部门开展的预算绩效评价，包括事前绩效评估、各类型绩效评价以及预算管理综合考核，其结果应用适用本办法。</w:t>
      </w:r>
    </w:p>
    <w:p w:rsidR="00F33716" w:rsidRDefault="00F33716">
      <w:pPr>
        <w:spacing w:line="600" w:lineRule="exact"/>
        <w:ind w:firstLineChars="200" w:firstLine="643"/>
        <w:rPr>
          <w:rFonts w:eastAsia="仿宋_GB2312" w:cs="Times New Roman"/>
          <w:sz w:val="32"/>
          <w:szCs w:val="32"/>
        </w:rPr>
      </w:pPr>
      <w:r>
        <w:rPr>
          <w:rFonts w:eastAsia="仿宋_GB2312" w:cs="仿宋_GB2312" w:hint="eastAsia"/>
          <w:b/>
          <w:bCs/>
          <w:sz w:val="32"/>
          <w:szCs w:val="32"/>
        </w:rPr>
        <w:t>第六条</w:t>
      </w:r>
      <w:r>
        <w:rPr>
          <w:rFonts w:eastAsia="仿宋_GB2312" w:cs="仿宋_GB2312"/>
          <w:b/>
          <w:bCs/>
          <w:sz w:val="32"/>
          <w:szCs w:val="32"/>
        </w:rPr>
        <w:t xml:space="preserve"> </w:t>
      </w:r>
      <w:r>
        <w:rPr>
          <w:rFonts w:eastAsia="仿宋_GB2312" w:cs="仿宋_GB2312" w:hint="eastAsia"/>
          <w:sz w:val="32"/>
          <w:szCs w:val="32"/>
        </w:rPr>
        <w:t>绩效评价结果应用的主体是市财政局和其他市级部门。市财政局负责事前绩效评估、财政重点绩效评价、市级部门绩效评价结果应用工作；市级部门负责本部门和下属单位组织开展的事前绩效评估及绩效评价结果应用工作。</w:t>
      </w:r>
    </w:p>
    <w:p w:rsidR="00F33716" w:rsidRDefault="00F33716">
      <w:pPr>
        <w:spacing w:line="600" w:lineRule="exact"/>
        <w:jc w:val="center"/>
        <w:rPr>
          <w:rFonts w:ascii="黑体" w:eastAsia="黑体" w:hAnsi="黑体" w:cs="Times New Roman"/>
          <w:color w:val="323232"/>
          <w:sz w:val="32"/>
          <w:szCs w:val="32"/>
        </w:rPr>
      </w:pPr>
      <w:r>
        <w:rPr>
          <w:rFonts w:ascii="黑体" w:eastAsia="黑体" w:hAnsi="黑体" w:cs="黑体" w:hint="eastAsia"/>
          <w:color w:val="323232"/>
          <w:sz w:val="32"/>
          <w:szCs w:val="32"/>
        </w:rPr>
        <w:t>第二章</w:t>
      </w:r>
      <w:r>
        <w:rPr>
          <w:rFonts w:ascii="黑体" w:eastAsia="黑体" w:hAnsi="黑体" w:cs="黑体"/>
          <w:color w:val="323232"/>
          <w:sz w:val="32"/>
          <w:szCs w:val="32"/>
        </w:rPr>
        <w:t xml:space="preserve"> </w:t>
      </w:r>
      <w:r>
        <w:rPr>
          <w:rFonts w:ascii="黑体" w:eastAsia="黑体" w:hAnsi="黑体" w:cs="黑体" w:hint="eastAsia"/>
          <w:color w:val="323232"/>
          <w:sz w:val="32"/>
          <w:szCs w:val="32"/>
        </w:rPr>
        <w:t>反馈与整改</w:t>
      </w:r>
    </w:p>
    <w:p w:rsidR="00F33716" w:rsidRDefault="00F33716">
      <w:pPr>
        <w:spacing w:line="600" w:lineRule="exact"/>
        <w:ind w:firstLineChars="200" w:firstLine="643"/>
        <w:rPr>
          <w:rFonts w:eastAsia="仿宋_GB2312" w:cs="Times New Roman"/>
          <w:sz w:val="32"/>
          <w:szCs w:val="32"/>
        </w:rPr>
      </w:pPr>
      <w:r>
        <w:rPr>
          <w:rFonts w:eastAsia="仿宋_GB2312" w:cs="仿宋_GB2312" w:hint="eastAsia"/>
          <w:b/>
          <w:bCs/>
          <w:sz w:val="32"/>
          <w:szCs w:val="32"/>
        </w:rPr>
        <w:t>第七条</w:t>
      </w:r>
      <w:r>
        <w:rPr>
          <w:rFonts w:eastAsia="仿宋_GB2312" w:cs="仿宋_GB2312"/>
          <w:b/>
          <w:bCs/>
          <w:sz w:val="32"/>
          <w:szCs w:val="32"/>
        </w:rPr>
        <w:t xml:space="preserve"> </w:t>
      </w:r>
      <w:r>
        <w:rPr>
          <w:rFonts w:eastAsia="仿宋_GB2312" w:cs="仿宋_GB2312" w:hint="eastAsia"/>
          <w:sz w:val="32"/>
          <w:szCs w:val="32"/>
        </w:rPr>
        <w:t>市财政局和市级部门开展的绩效评价，应及时将绩效评价结果和整改要求书面反馈被评价部门（单位），同时送达绩效评价报告。</w:t>
      </w:r>
    </w:p>
    <w:p w:rsidR="00F33716" w:rsidRDefault="00F33716">
      <w:pPr>
        <w:spacing w:line="600" w:lineRule="exact"/>
        <w:ind w:firstLineChars="200" w:firstLine="643"/>
        <w:rPr>
          <w:rFonts w:eastAsia="仿宋_GB2312" w:cs="Times New Roman"/>
          <w:sz w:val="32"/>
          <w:szCs w:val="32"/>
        </w:rPr>
      </w:pPr>
      <w:r>
        <w:rPr>
          <w:rFonts w:eastAsia="仿宋_GB2312" w:cs="仿宋_GB2312" w:hint="eastAsia"/>
          <w:b/>
          <w:bCs/>
          <w:sz w:val="32"/>
          <w:szCs w:val="32"/>
        </w:rPr>
        <w:t>第八条</w:t>
      </w:r>
      <w:r>
        <w:rPr>
          <w:rFonts w:eastAsia="仿宋_GB2312" w:cs="仿宋_GB2312"/>
          <w:b/>
          <w:bCs/>
          <w:sz w:val="32"/>
          <w:szCs w:val="32"/>
        </w:rPr>
        <w:t xml:space="preserve"> </w:t>
      </w:r>
      <w:r>
        <w:rPr>
          <w:rFonts w:eastAsia="仿宋_GB2312" w:cs="仿宋_GB2312" w:hint="eastAsia"/>
          <w:sz w:val="32"/>
          <w:szCs w:val="32"/>
        </w:rPr>
        <w:t>被评价部门（单位）自收到绩效评价结果之日起六十日内，根据评价结论及整改要求，制定整改措施，报送市财政局或主管部门。被评价部门（单位）制定整改措施应坚持问题导向，针对评价反映的问题，通过加强绩效目标管理、完善制度办法、调整资金分配方式、提高预算管理水平等具体措施进行整改。</w:t>
      </w:r>
    </w:p>
    <w:p w:rsidR="00F33716" w:rsidRDefault="00F33716">
      <w:pPr>
        <w:spacing w:line="600" w:lineRule="exact"/>
        <w:ind w:firstLineChars="200" w:firstLine="643"/>
        <w:rPr>
          <w:rFonts w:eastAsia="仿宋_GB2312" w:cs="Times New Roman"/>
          <w:sz w:val="32"/>
          <w:szCs w:val="32"/>
        </w:rPr>
      </w:pPr>
      <w:r>
        <w:rPr>
          <w:rFonts w:eastAsia="仿宋_GB2312" w:cs="仿宋_GB2312" w:hint="eastAsia"/>
          <w:b/>
          <w:bCs/>
          <w:sz w:val="32"/>
          <w:szCs w:val="32"/>
        </w:rPr>
        <w:t>第九条</w:t>
      </w:r>
      <w:r>
        <w:rPr>
          <w:rFonts w:eastAsia="仿宋_GB2312" w:cs="仿宋_GB2312"/>
          <w:b/>
          <w:bCs/>
          <w:sz w:val="32"/>
          <w:szCs w:val="32"/>
        </w:rPr>
        <w:t xml:space="preserve"> </w:t>
      </w:r>
      <w:r>
        <w:rPr>
          <w:rFonts w:eastAsia="仿宋_GB2312" w:cs="仿宋_GB2312" w:hint="eastAsia"/>
          <w:sz w:val="32"/>
          <w:szCs w:val="32"/>
        </w:rPr>
        <w:t>市级部门应按要求及时将部门实施的绩效评价报告连同汇总的整改报告交市财政局备案，作为绩效评价结果应用的重要依据。</w:t>
      </w:r>
    </w:p>
    <w:p w:rsidR="00F33716" w:rsidRDefault="00F33716">
      <w:pPr>
        <w:spacing w:line="600" w:lineRule="exact"/>
        <w:ind w:firstLineChars="200" w:firstLine="643"/>
        <w:rPr>
          <w:rFonts w:eastAsia="仿宋_GB2312" w:cs="Times New Roman"/>
          <w:sz w:val="32"/>
          <w:szCs w:val="32"/>
        </w:rPr>
      </w:pPr>
      <w:r>
        <w:rPr>
          <w:rFonts w:eastAsia="仿宋_GB2312" w:cs="仿宋_GB2312" w:hint="eastAsia"/>
          <w:b/>
          <w:bCs/>
          <w:sz w:val="32"/>
          <w:szCs w:val="32"/>
        </w:rPr>
        <w:t>第十条</w:t>
      </w:r>
      <w:r>
        <w:rPr>
          <w:rFonts w:eastAsia="仿宋_GB2312" w:cs="仿宋_GB2312"/>
          <w:b/>
          <w:bCs/>
          <w:sz w:val="32"/>
          <w:szCs w:val="32"/>
        </w:rPr>
        <w:t xml:space="preserve"> </w:t>
      </w:r>
      <w:r>
        <w:rPr>
          <w:rFonts w:eastAsia="仿宋_GB2312" w:cs="仿宋_GB2312" w:hint="eastAsia"/>
          <w:sz w:val="32"/>
          <w:szCs w:val="32"/>
        </w:rPr>
        <w:t>市财政局和市级部门对被评价部门（单位）的整改情况及时进行跟踪督导。</w:t>
      </w:r>
    </w:p>
    <w:p w:rsidR="00F33716" w:rsidRDefault="00F33716">
      <w:pPr>
        <w:spacing w:line="600" w:lineRule="exact"/>
        <w:jc w:val="center"/>
        <w:rPr>
          <w:rFonts w:ascii="黑体" w:eastAsia="黑体" w:hAnsi="黑体" w:cs="Times New Roman"/>
          <w:sz w:val="32"/>
          <w:szCs w:val="32"/>
        </w:rPr>
      </w:pPr>
      <w:r>
        <w:rPr>
          <w:rFonts w:ascii="黑体" w:eastAsia="黑体" w:hAnsi="黑体" w:cs="黑体" w:hint="eastAsia"/>
          <w:sz w:val="32"/>
          <w:szCs w:val="32"/>
        </w:rPr>
        <w:t>第三章</w:t>
      </w:r>
      <w:r>
        <w:rPr>
          <w:rFonts w:ascii="黑体" w:eastAsia="黑体" w:hAnsi="黑体" w:cs="黑体"/>
          <w:sz w:val="32"/>
          <w:szCs w:val="32"/>
        </w:rPr>
        <w:t xml:space="preserve"> </w:t>
      </w:r>
      <w:r>
        <w:rPr>
          <w:rFonts w:ascii="黑体" w:eastAsia="黑体" w:hAnsi="黑体" w:cs="黑体" w:hint="eastAsia"/>
          <w:sz w:val="32"/>
          <w:szCs w:val="32"/>
        </w:rPr>
        <w:t>报告与公开</w:t>
      </w:r>
    </w:p>
    <w:p w:rsidR="00F33716" w:rsidRDefault="00F33716">
      <w:pPr>
        <w:spacing w:line="600" w:lineRule="exact"/>
        <w:ind w:firstLineChars="200" w:firstLine="643"/>
        <w:rPr>
          <w:rFonts w:eastAsia="仿宋_GB2312" w:cs="Times New Roman"/>
          <w:sz w:val="32"/>
          <w:szCs w:val="32"/>
        </w:rPr>
      </w:pPr>
      <w:r>
        <w:rPr>
          <w:rFonts w:eastAsia="仿宋_GB2312" w:cs="仿宋_GB2312" w:hint="eastAsia"/>
          <w:b/>
          <w:bCs/>
          <w:sz w:val="32"/>
          <w:szCs w:val="32"/>
        </w:rPr>
        <w:t>第十一条</w:t>
      </w:r>
      <w:r>
        <w:rPr>
          <w:rFonts w:eastAsia="仿宋_GB2312" w:cs="仿宋_GB2312"/>
          <w:b/>
          <w:bCs/>
          <w:sz w:val="32"/>
          <w:szCs w:val="32"/>
        </w:rPr>
        <w:t xml:space="preserve"> </w:t>
      </w:r>
      <w:r>
        <w:rPr>
          <w:rFonts w:eastAsia="仿宋_GB2312" w:cs="仿宋_GB2312" w:hint="eastAsia"/>
          <w:sz w:val="32"/>
          <w:szCs w:val="32"/>
        </w:rPr>
        <w:t>市财政局将财政重点绩效评价结果向市级部门通报的同时，报送市政府；其中对县（区）专项转移支付项目绩效评价结果通报的同时，抄送县（区）政府。</w:t>
      </w:r>
    </w:p>
    <w:p w:rsidR="00F33716" w:rsidRDefault="00F33716">
      <w:pPr>
        <w:spacing w:line="600" w:lineRule="exact"/>
        <w:ind w:firstLineChars="200" w:firstLine="640"/>
        <w:rPr>
          <w:rFonts w:eastAsia="仿宋_GB2312" w:cs="Times New Roman"/>
          <w:sz w:val="32"/>
          <w:szCs w:val="32"/>
        </w:rPr>
      </w:pPr>
      <w:r>
        <w:rPr>
          <w:rFonts w:eastAsia="仿宋_GB2312" w:cs="仿宋_GB2312" w:hint="eastAsia"/>
          <w:sz w:val="32"/>
          <w:szCs w:val="32"/>
        </w:rPr>
        <w:t>市级部门应将绩效评价结果向项目实施单位和县（区）对口部门通报，必要时抄送县（区）政府。</w:t>
      </w:r>
    </w:p>
    <w:p w:rsidR="00F33716" w:rsidRDefault="00F33716">
      <w:pPr>
        <w:spacing w:line="600" w:lineRule="exact"/>
        <w:ind w:firstLineChars="200" w:firstLine="643"/>
        <w:rPr>
          <w:rFonts w:eastAsia="仿宋_GB2312" w:cs="Times New Roman"/>
          <w:sz w:val="32"/>
          <w:szCs w:val="32"/>
        </w:rPr>
      </w:pPr>
      <w:r>
        <w:rPr>
          <w:rFonts w:eastAsia="仿宋_GB2312" w:cs="仿宋_GB2312" w:hint="eastAsia"/>
          <w:b/>
          <w:bCs/>
          <w:sz w:val="32"/>
          <w:szCs w:val="32"/>
        </w:rPr>
        <w:t>第十二条</w:t>
      </w:r>
      <w:r>
        <w:rPr>
          <w:rFonts w:eastAsia="仿宋_GB2312" w:cs="仿宋_GB2312"/>
          <w:b/>
          <w:bCs/>
          <w:sz w:val="32"/>
          <w:szCs w:val="32"/>
        </w:rPr>
        <w:t xml:space="preserve"> </w:t>
      </w:r>
      <w:r>
        <w:rPr>
          <w:rFonts w:eastAsia="仿宋_GB2312" w:cs="仿宋_GB2312" w:hint="eastAsia"/>
          <w:sz w:val="32"/>
          <w:szCs w:val="32"/>
        </w:rPr>
        <w:t>市财政局实施的重点绩效评价结果和部分市级部门实施的绩效评价结果随同年度决算向市人大常委会报告。</w:t>
      </w:r>
    </w:p>
    <w:p w:rsidR="00F33716" w:rsidRDefault="00F33716">
      <w:pPr>
        <w:spacing w:line="600" w:lineRule="exact"/>
        <w:ind w:firstLineChars="200" w:firstLine="643"/>
        <w:rPr>
          <w:rFonts w:eastAsia="仿宋_GB2312" w:cs="Times New Roman"/>
          <w:sz w:val="32"/>
          <w:szCs w:val="32"/>
        </w:rPr>
      </w:pPr>
      <w:r>
        <w:rPr>
          <w:rFonts w:eastAsia="仿宋_GB2312" w:cs="仿宋_GB2312" w:hint="eastAsia"/>
          <w:b/>
          <w:bCs/>
          <w:sz w:val="32"/>
          <w:szCs w:val="32"/>
        </w:rPr>
        <w:t>第十三条</w:t>
      </w:r>
      <w:r>
        <w:rPr>
          <w:rFonts w:eastAsia="仿宋_GB2312" w:cs="仿宋_GB2312"/>
          <w:b/>
          <w:bCs/>
          <w:sz w:val="32"/>
          <w:szCs w:val="32"/>
        </w:rPr>
        <w:t xml:space="preserve"> </w:t>
      </w:r>
      <w:r>
        <w:rPr>
          <w:rFonts w:eastAsia="仿宋_GB2312" w:cs="仿宋_GB2312" w:hint="eastAsia"/>
          <w:sz w:val="32"/>
          <w:szCs w:val="32"/>
        </w:rPr>
        <w:t>除涉密内容外，绩效评价结果应按照政府信息公开有关规定，随同年度决算向社会公开，同时公开预算绩效目标管理、绩效监控、绩效评价工作开展情况，自觉接受社会各界监督。绩效评价报告纳入依申请公开文件目录。</w:t>
      </w:r>
    </w:p>
    <w:p w:rsidR="00F33716" w:rsidRDefault="00F33716">
      <w:pPr>
        <w:spacing w:line="600" w:lineRule="exact"/>
        <w:jc w:val="center"/>
        <w:rPr>
          <w:rFonts w:ascii="黑体" w:eastAsia="黑体" w:hAnsi="黑体" w:cs="Times New Roman"/>
          <w:sz w:val="32"/>
          <w:szCs w:val="32"/>
        </w:rPr>
      </w:pPr>
      <w:r>
        <w:rPr>
          <w:rFonts w:ascii="黑体" w:eastAsia="黑体" w:hAnsi="黑体" w:cs="黑体" w:hint="eastAsia"/>
          <w:sz w:val="32"/>
          <w:szCs w:val="32"/>
        </w:rPr>
        <w:t>第四章</w:t>
      </w:r>
      <w:r>
        <w:rPr>
          <w:rFonts w:ascii="黑体" w:eastAsia="黑体" w:hAnsi="黑体" w:cs="黑体"/>
          <w:sz w:val="32"/>
          <w:szCs w:val="32"/>
        </w:rPr>
        <w:t xml:space="preserve"> </w:t>
      </w:r>
      <w:r>
        <w:rPr>
          <w:rFonts w:ascii="黑体" w:eastAsia="黑体" w:hAnsi="黑体" w:cs="黑体" w:hint="eastAsia"/>
          <w:sz w:val="32"/>
          <w:szCs w:val="32"/>
        </w:rPr>
        <w:t>评价结果挂钩机制</w:t>
      </w:r>
    </w:p>
    <w:p w:rsidR="00F33716" w:rsidRDefault="00F33716">
      <w:pPr>
        <w:spacing w:line="600" w:lineRule="exact"/>
        <w:ind w:firstLineChars="200" w:firstLine="643"/>
        <w:rPr>
          <w:rFonts w:eastAsia="仿宋_GB2312" w:cs="Times New Roman"/>
          <w:sz w:val="32"/>
          <w:szCs w:val="32"/>
        </w:rPr>
      </w:pPr>
      <w:r>
        <w:rPr>
          <w:rFonts w:eastAsia="仿宋_GB2312" w:cs="仿宋_GB2312" w:hint="eastAsia"/>
          <w:b/>
          <w:bCs/>
          <w:sz w:val="32"/>
          <w:szCs w:val="32"/>
        </w:rPr>
        <w:t>第十四条</w:t>
      </w:r>
      <w:r>
        <w:rPr>
          <w:rFonts w:eastAsia="仿宋_GB2312" w:cs="仿宋_GB2312"/>
          <w:b/>
          <w:bCs/>
          <w:sz w:val="32"/>
          <w:szCs w:val="32"/>
        </w:rPr>
        <w:t xml:space="preserve"> </w:t>
      </w:r>
      <w:r>
        <w:rPr>
          <w:rFonts w:eastAsia="仿宋_GB2312" w:cs="仿宋_GB2312" w:hint="eastAsia"/>
          <w:sz w:val="32"/>
          <w:szCs w:val="32"/>
        </w:rPr>
        <w:t>市财政局和市级部门要加强内部协调与配合，将绩效评价结果作为改进预算管理、以后年度编制预算和安排财政资金的重要依据，建立健全资金分配与绩效评价结果挂钩机制。</w:t>
      </w:r>
    </w:p>
    <w:p w:rsidR="00F33716" w:rsidRDefault="00F33716">
      <w:pPr>
        <w:spacing w:line="600" w:lineRule="exact"/>
        <w:ind w:firstLineChars="200" w:firstLine="643"/>
        <w:rPr>
          <w:rFonts w:eastAsia="仿宋_GB2312" w:cs="Times New Roman"/>
          <w:sz w:val="32"/>
          <w:szCs w:val="32"/>
        </w:rPr>
      </w:pPr>
      <w:r>
        <w:rPr>
          <w:rFonts w:eastAsia="仿宋_GB2312" w:cs="仿宋_GB2312" w:hint="eastAsia"/>
          <w:b/>
          <w:bCs/>
          <w:sz w:val="32"/>
          <w:szCs w:val="32"/>
        </w:rPr>
        <w:t>第十五条</w:t>
      </w:r>
      <w:r>
        <w:rPr>
          <w:rFonts w:eastAsia="仿宋_GB2312" w:cs="仿宋_GB2312"/>
          <w:b/>
          <w:bCs/>
          <w:sz w:val="32"/>
          <w:szCs w:val="32"/>
        </w:rPr>
        <w:t xml:space="preserve"> </w:t>
      </w:r>
      <w:r>
        <w:rPr>
          <w:rFonts w:eastAsia="仿宋_GB2312" w:cs="仿宋_GB2312" w:hint="eastAsia"/>
          <w:sz w:val="32"/>
          <w:szCs w:val="32"/>
        </w:rPr>
        <w:t>市财政局在预算安排中应用绩效评价结果的原则和具体方式在每年市财政局财政规划编报通知中予以明确。</w:t>
      </w:r>
    </w:p>
    <w:p w:rsidR="00F33716" w:rsidRDefault="00F33716">
      <w:pPr>
        <w:spacing w:line="600" w:lineRule="exact"/>
        <w:ind w:firstLineChars="200" w:firstLine="640"/>
        <w:rPr>
          <w:rFonts w:eastAsia="仿宋_GB2312" w:cs="Times New Roman"/>
          <w:sz w:val="32"/>
          <w:szCs w:val="32"/>
        </w:rPr>
      </w:pPr>
      <w:r>
        <w:rPr>
          <w:rFonts w:eastAsia="仿宋_GB2312" w:cs="仿宋_GB2312" w:hint="eastAsia"/>
          <w:sz w:val="32"/>
          <w:szCs w:val="32"/>
        </w:rPr>
        <w:t>对于绩效评价结果为优的，市财政局将予以通报表扬，并在编报下一年预算时予以优先安排，必要时适当增加资金规模。</w:t>
      </w:r>
    </w:p>
    <w:p w:rsidR="00F33716" w:rsidRDefault="00F33716">
      <w:pPr>
        <w:spacing w:line="600" w:lineRule="exact"/>
        <w:ind w:firstLineChars="200" w:firstLine="640"/>
        <w:rPr>
          <w:rFonts w:eastAsia="仿宋_GB2312" w:cs="Times New Roman"/>
          <w:sz w:val="32"/>
          <w:szCs w:val="32"/>
        </w:rPr>
      </w:pPr>
      <w:r>
        <w:rPr>
          <w:rFonts w:eastAsia="仿宋_GB2312" w:cs="仿宋_GB2312" w:hint="eastAsia"/>
          <w:sz w:val="32"/>
          <w:szCs w:val="32"/>
        </w:rPr>
        <w:t>对绩效评价结果为良的，市财政局督促市级部门限期整改所发现问题，整改情况作为安排以后年度预算的重要参考。</w:t>
      </w:r>
    </w:p>
    <w:p w:rsidR="00F33716" w:rsidRDefault="00F33716">
      <w:pPr>
        <w:spacing w:line="600" w:lineRule="exact"/>
        <w:ind w:firstLineChars="200" w:firstLine="640"/>
        <w:rPr>
          <w:rFonts w:eastAsia="仿宋_GB2312" w:cs="Times New Roman"/>
          <w:sz w:val="32"/>
          <w:szCs w:val="32"/>
        </w:rPr>
      </w:pPr>
      <w:r>
        <w:rPr>
          <w:rFonts w:eastAsia="仿宋_GB2312" w:cs="仿宋_GB2312" w:hint="eastAsia"/>
          <w:sz w:val="32"/>
          <w:szCs w:val="32"/>
        </w:rPr>
        <w:t>对于绩效评价结果为中的，市财政局原则上按照被评价年度预算的</w:t>
      </w:r>
      <w:r>
        <w:rPr>
          <w:rFonts w:eastAsia="仿宋_GB2312"/>
          <w:sz w:val="32"/>
          <w:szCs w:val="32"/>
        </w:rPr>
        <w:t>10%-30%</w:t>
      </w:r>
      <w:r>
        <w:rPr>
          <w:rFonts w:eastAsia="仿宋_GB2312" w:cs="仿宋_GB2312" w:hint="eastAsia"/>
          <w:sz w:val="32"/>
          <w:szCs w:val="32"/>
        </w:rPr>
        <w:t>在编报下一年度预算时进行扣减，扣减资金收回财政总预算统筹安排使用。</w:t>
      </w:r>
    </w:p>
    <w:p w:rsidR="00F33716" w:rsidRDefault="00F33716">
      <w:pPr>
        <w:spacing w:line="600" w:lineRule="exact"/>
        <w:ind w:firstLineChars="200" w:firstLine="640"/>
        <w:rPr>
          <w:rFonts w:eastAsia="仿宋_GB2312" w:cs="Times New Roman"/>
          <w:sz w:val="32"/>
          <w:szCs w:val="32"/>
        </w:rPr>
      </w:pPr>
      <w:r>
        <w:rPr>
          <w:rFonts w:eastAsia="仿宋_GB2312" w:cs="仿宋_GB2312" w:hint="eastAsia"/>
          <w:sz w:val="32"/>
          <w:szCs w:val="32"/>
        </w:rPr>
        <w:t>对绩效评价结果为差的，市财政局原则上按照被评价年度预算的</w:t>
      </w:r>
      <w:r>
        <w:rPr>
          <w:rFonts w:eastAsia="仿宋_GB2312"/>
          <w:sz w:val="32"/>
          <w:szCs w:val="32"/>
        </w:rPr>
        <w:t>30%</w:t>
      </w:r>
      <w:r>
        <w:rPr>
          <w:rFonts w:eastAsia="仿宋_GB2312" w:cs="仿宋_GB2312" w:hint="eastAsia"/>
          <w:sz w:val="32"/>
          <w:szCs w:val="32"/>
        </w:rPr>
        <w:t>以上在编报下一年度预算进行扣减，直至取消相应项目支出预算安排。</w:t>
      </w:r>
    </w:p>
    <w:p w:rsidR="00F33716" w:rsidRDefault="00F33716">
      <w:pPr>
        <w:spacing w:line="600" w:lineRule="exact"/>
        <w:ind w:firstLineChars="200" w:firstLine="643"/>
        <w:rPr>
          <w:rFonts w:eastAsia="仿宋_GB2312" w:cs="Times New Roman"/>
          <w:sz w:val="32"/>
          <w:szCs w:val="32"/>
        </w:rPr>
      </w:pPr>
      <w:r>
        <w:rPr>
          <w:rFonts w:eastAsia="仿宋_GB2312" w:cs="仿宋_GB2312" w:hint="eastAsia"/>
          <w:b/>
          <w:bCs/>
          <w:sz w:val="32"/>
          <w:szCs w:val="32"/>
        </w:rPr>
        <w:t>第十六条</w:t>
      </w:r>
      <w:r>
        <w:rPr>
          <w:rFonts w:eastAsia="仿宋_GB2312" w:cs="仿宋_GB2312"/>
          <w:b/>
          <w:bCs/>
          <w:sz w:val="32"/>
          <w:szCs w:val="32"/>
        </w:rPr>
        <w:t xml:space="preserve"> </w:t>
      </w:r>
      <w:r>
        <w:rPr>
          <w:rFonts w:eastAsia="仿宋_GB2312" w:cs="仿宋_GB2312" w:hint="eastAsia"/>
          <w:sz w:val="32"/>
          <w:szCs w:val="32"/>
        </w:rPr>
        <w:t>市级部门要在项目申报指南、资金分配方案中明确绩效评价结果应用原则。</w:t>
      </w:r>
    </w:p>
    <w:p w:rsidR="00F33716" w:rsidRDefault="00F33716">
      <w:pPr>
        <w:spacing w:line="600" w:lineRule="exact"/>
        <w:ind w:firstLineChars="200" w:firstLine="640"/>
        <w:rPr>
          <w:rFonts w:eastAsia="仿宋_GB2312" w:cs="Times New Roman"/>
          <w:sz w:val="32"/>
          <w:szCs w:val="32"/>
        </w:rPr>
      </w:pPr>
      <w:r>
        <w:rPr>
          <w:rFonts w:eastAsia="仿宋_GB2312" w:cs="仿宋_GB2312" w:hint="eastAsia"/>
          <w:sz w:val="32"/>
          <w:szCs w:val="32"/>
        </w:rPr>
        <w:t>对于绩效评价结果为优的，市级部门应予通报表扬，并在分配下一年预算资金时予以优先考虑，必要时适当增加资金规模。</w:t>
      </w:r>
    </w:p>
    <w:p w:rsidR="00F33716" w:rsidRDefault="00F33716">
      <w:pPr>
        <w:spacing w:line="600" w:lineRule="exact"/>
        <w:ind w:firstLineChars="200" w:firstLine="640"/>
        <w:rPr>
          <w:rFonts w:eastAsia="仿宋_GB2312" w:cs="Times New Roman"/>
          <w:sz w:val="32"/>
          <w:szCs w:val="32"/>
        </w:rPr>
      </w:pPr>
      <w:r>
        <w:rPr>
          <w:rFonts w:eastAsia="仿宋_GB2312" w:cs="仿宋_GB2312" w:hint="eastAsia"/>
          <w:sz w:val="32"/>
          <w:szCs w:val="32"/>
        </w:rPr>
        <w:t>对绩效评价结果为良的，市级部门督促预算单位限期整改所发现问题，作为安排以后年度预算的重要参考。</w:t>
      </w:r>
    </w:p>
    <w:p w:rsidR="00F33716" w:rsidRDefault="00F33716">
      <w:pPr>
        <w:spacing w:line="600" w:lineRule="exact"/>
        <w:ind w:firstLineChars="200" w:firstLine="640"/>
        <w:rPr>
          <w:rFonts w:eastAsia="仿宋_GB2312" w:cs="Times New Roman"/>
          <w:sz w:val="32"/>
          <w:szCs w:val="32"/>
        </w:rPr>
      </w:pPr>
      <w:r>
        <w:rPr>
          <w:rFonts w:eastAsia="仿宋_GB2312" w:cs="仿宋_GB2312" w:hint="eastAsia"/>
          <w:sz w:val="32"/>
          <w:szCs w:val="32"/>
        </w:rPr>
        <w:t>对于绩效评价结果为中和差的，在相关问题未整改到位前，市级部门应在分配下一年预算资金时取消项目承担单位同类项目资金申报权，采取因素法分配的专项转移支付资金分配时应适当压缩应分配资金规模。</w:t>
      </w:r>
    </w:p>
    <w:p w:rsidR="00F33716" w:rsidRDefault="00F33716">
      <w:pPr>
        <w:spacing w:line="600" w:lineRule="exact"/>
        <w:jc w:val="center"/>
        <w:rPr>
          <w:rFonts w:ascii="黑体" w:eastAsia="黑体" w:hAnsi="黑体" w:cs="Times New Roman"/>
          <w:sz w:val="32"/>
          <w:szCs w:val="32"/>
        </w:rPr>
      </w:pPr>
      <w:r>
        <w:rPr>
          <w:rFonts w:ascii="黑体" w:eastAsia="黑体" w:hAnsi="黑体" w:cs="黑体" w:hint="eastAsia"/>
          <w:sz w:val="32"/>
          <w:szCs w:val="32"/>
        </w:rPr>
        <w:t>第五章</w:t>
      </w:r>
      <w:r>
        <w:rPr>
          <w:rFonts w:ascii="黑体" w:eastAsia="黑体" w:hAnsi="黑体" w:cs="黑体"/>
          <w:sz w:val="32"/>
          <w:szCs w:val="32"/>
        </w:rPr>
        <w:t xml:space="preserve"> </w:t>
      </w:r>
      <w:r>
        <w:rPr>
          <w:rFonts w:ascii="黑体" w:eastAsia="黑体" w:hAnsi="黑体" w:cs="黑体" w:hint="eastAsia"/>
          <w:sz w:val="32"/>
          <w:szCs w:val="32"/>
        </w:rPr>
        <w:t>综合考核</w:t>
      </w:r>
    </w:p>
    <w:p w:rsidR="00F33716" w:rsidRDefault="00F33716">
      <w:pPr>
        <w:spacing w:line="600" w:lineRule="exact"/>
        <w:ind w:firstLineChars="200" w:firstLine="643"/>
        <w:rPr>
          <w:rFonts w:eastAsia="仿宋_GB2312" w:cs="Times New Roman"/>
          <w:sz w:val="32"/>
          <w:szCs w:val="32"/>
        </w:rPr>
      </w:pPr>
      <w:r>
        <w:rPr>
          <w:rFonts w:eastAsia="仿宋_GB2312" w:cs="仿宋_GB2312" w:hint="eastAsia"/>
          <w:b/>
          <w:bCs/>
          <w:sz w:val="32"/>
          <w:szCs w:val="32"/>
        </w:rPr>
        <w:t>第十七条</w:t>
      </w:r>
      <w:r>
        <w:rPr>
          <w:rFonts w:eastAsia="仿宋_GB2312" w:cs="仿宋_GB2312"/>
          <w:b/>
          <w:bCs/>
          <w:sz w:val="32"/>
          <w:szCs w:val="32"/>
        </w:rPr>
        <w:t xml:space="preserve"> </w:t>
      </w:r>
      <w:r>
        <w:rPr>
          <w:rFonts w:eastAsia="仿宋_GB2312" w:cs="仿宋_GB2312" w:hint="eastAsia"/>
          <w:sz w:val="32"/>
          <w:szCs w:val="32"/>
        </w:rPr>
        <w:t>市财政局将开展的各类型绩效评价结果纳入市级部门绩效管理工作考核范围，与政府绩效考核结果挂钩。</w:t>
      </w:r>
    </w:p>
    <w:p w:rsidR="00F33716" w:rsidRDefault="00F33716">
      <w:pPr>
        <w:spacing w:line="600" w:lineRule="exact"/>
        <w:ind w:firstLineChars="200" w:firstLine="643"/>
        <w:rPr>
          <w:rFonts w:eastAsia="仿宋_GB2312" w:cs="Times New Roman"/>
          <w:sz w:val="32"/>
          <w:szCs w:val="32"/>
        </w:rPr>
      </w:pPr>
      <w:r>
        <w:rPr>
          <w:rFonts w:eastAsia="仿宋_GB2312" w:cs="仿宋_GB2312" w:hint="eastAsia"/>
          <w:b/>
          <w:bCs/>
          <w:sz w:val="32"/>
          <w:szCs w:val="32"/>
        </w:rPr>
        <w:t>第十八条</w:t>
      </w:r>
      <w:r>
        <w:rPr>
          <w:rFonts w:eastAsia="仿宋_GB2312" w:cs="仿宋_GB2312"/>
          <w:b/>
          <w:bCs/>
          <w:sz w:val="32"/>
          <w:szCs w:val="32"/>
        </w:rPr>
        <w:t xml:space="preserve"> </w:t>
      </w:r>
      <w:r>
        <w:rPr>
          <w:rFonts w:eastAsia="仿宋_GB2312" w:cs="仿宋_GB2312" w:hint="eastAsia"/>
          <w:sz w:val="32"/>
          <w:szCs w:val="32"/>
        </w:rPr>
        <w:t>对市级部门绩效管理工作考核结果较好（综合排名前十名）的市级部门，市财政局予以通报表彰。对市级部门绩效管理工作考核结果较差（综合排名后十名）的市级部门，市财政局将进行集中工作约谈，必要时提请分管市领导约谈相关负责人。</w:t>
      </w:r>
    </w:p>
    <w:p w:rsidR="00F33716" w:rsidRDefault="00F33716">
      <w:pPr>
        <w:spacing w:line="600" w:lineRule="exact"/>
        <w:ind w:firstLineChars="200" w:firstLine="643"/>
        <w:rPr>
          <w:rFonts w:ascii="仿宋_GB2312" w:eastAsia="仿宋_GB2312" w:hAnsi="华文仿宋" w:cs="Times New Roman"/>
          <w:sz w:val="32"/>
          <w:szCs w:val="32"/>
        </w:rPr>
      </w:pPr>
      <w:r>
        <w:rPr>
          <w:rFonts w:eastAsia="仿宋_GB2312" w:cs="仿宋_GB2312" w:hint="eastAsia"/>
          <w:b/>
          <w:bCs/>
          <w:sz w:val="32"/>
          <w:szCs w:val="32"/>
        </w:rPr>
        <w:t>第十九条</w:t>
      </w:r>
      <w:r>
        <w:rPr>
          <w:rFonts w:eastAsia="仿宋_GB2312" w:cs="仿宋_GB2312"/>
          <w:b/>
          <w:bCs/>
          <w:sz w:val="32"/>
          <w:szCs w:val="32"/>
        </w:rPr>
        <w:t xml:space="preserve"> </w:t>
      </w:r>
      <w:r>
        <w:rPr>
          <w:rFonts w:eastAsia="仿宋_GB2312" w:cs="仿宋_GB2312" w:hint="eastAsia"/>
          <w:sz w:val="32"/>
          <w:szCs w:val="32"/>
        </w:rPr>
        <w:t>市级部门绩效管理工作</w:t>
      </w:r>
      <w:r>
        <w:rPr>
          <w:rFonts w:ascii="仿宋_GB2312" w:eastAsia="仿宋_GB2312" w:hAnsi="华文仿宋" w:cs="仿宋_GB2312" w:hint="eastAsia"/>
          <w:sz w:val="32"/>
          <w:szCs w:val="32"/>
        </w:rPr>
        <w:t>考核结果纳入</w:t>
      </w:r>
      <w:r>
        <w:rPr>
          <w:rFonts w:eastAsia="仿宋_GB2312" w:cs="仿宋_GB2312" w:hint="eastAsia"/>
          <w:sz w:val="32"/>
          <w:szCs w:val="32"/>
        </w:rPr>
        <w:t>市</w:t>
      </w:r>
      <w:r>
        <w:rPr>
          <w:rFonts w:ascii="仿宋_GB2312" w:eastAsia="仿宋_GB2312" w:hAnsi="华文仿宋" w:cs="仿宋_GB2312" w:hint="eastAsia"/>
          <w:sz w:val="32"/>
          <w:szCs w:val="32"/>
        </w:rPr>
        <w:t>政府绩效、干部政绩考核考评体系，作为干部选拔任用、公务员考核的重要依据。</w:t>
      </w:r>
    </w:p>
    <w:p w:rsidR="00F33716" w:rsidRDefault="00F33716">
      <w:pPr>
        <w:spacing w:line="600" w:lineRule="exact"/>
        <w:jc w:val="center"/>
        <w:rPr>
          <w:rFonts w:ascii="黑体" w:eastAsia="黑体" w:hAnsi="黑体" w:cs="Times New Roman"/>
          <w:sz w:val="32"/>
          <w:szCs w:val="32"/>
        </w:rPr>
      </w:pPr>
      <w:r>
        <w:rPr>
          <w:rFonts w:ascii="黑体" w:eastAsia="黑体" w:hAnsi="黑体" w:cs="黑体" w:hint="eastAsia"/>
          <w:sz w:val="32"/>
          <w:szCs w:val="32"/>
        </w:rPr>
        <w:t>第六章</w:t>
      </w:r>
      <w:r>
        <w:rPr>
          <w:rFonts w:ascii="黑体" w:eastAsia="黑体" w:hAnsi="黑体" w:cs="黑体"/>
          <w:sz w:val="32"/>
          <w:szCs w:val="32"/>
        </w:rPr>
        <w:t xml:space="preserve"> </w:t>
      </w:r>
      <w:r>
        <w:rPr>
          <w:rFonts w:ascii="黑体" w:eastAsia="黑体" w:hAnsi="黑体" w:cs="黑体" w:hint="eastAsia"/>
          <w:sz w:val="32"/>
          <w:szCs w:val="32"/>
        </w:rPr>
        <w:t>监督问责</w:t>
      </w:r>
    </w:p>
    <w:p w:rsidR="00F33716" w:rsidRDefault="00F33716">
      <w:pPr>
        <w:spacing w:line="600" w:lineRule="exact"/>
        <w:ind w:firstLineChars="200" w:firstLine="643"/>
        <w:rPr>
          <w:rFonts w:eastAsia="仿宋_GB2312" w:cs="Times New Roman"/>
          <w:sz w:val="32"/>
          <w:szCs w:val="32"/>
        </w:rPr>
      </w:pPr>
      <w:r>
        <w:rPr>
          <w:rFonts w:eastAsia="仿宋_GB2312" w:cs="仿宋_GB2312" w:hint="eastAsia"/>
          <w:b/>
          <w:bCs/>
          <w:sz w:val="32"/>
          <w:szCs w:val="32"/>
        </w:rPr>
        <w:t>第二十条</w:t>
      </w:r>
      <w:r>
        <w:rPr>
          <w:rFonts w:eastAsia="仿宋_GB2312" w:cs="仿宋_GB2312"/>
          <w:b/>
          <w:bCs/>
          <w:sz w:val="32"/>
          <w:szCs w:val="32"/>
        </w:rPr>
        <w:t xml:space="preserve"> </w:t>
      </w:r>
      <w:r>
        <w:rPr>
          <w:rFonts w:eastAsia="仿宋_GB2312" w:cs="仿宋_GB2312" w:hint="eastAsia"/>
          <w:sz w:val="32"/>
          <w:szCs w:val="32"/>
        </w:rPr>
        <w:t>市财政局及市级部门应当认真履行预算绩效评价结果应用有关职责，切实提高财政资金使用效益，依法接受审计监督。</w:t>
      </w:r>
    </w:p>
    <w:p w:rsidR="00F33716" w:rsidRDefault="00F33716">
      <w:pPr>
        <w:spacing w:line="600" w:lineRule="exact"/>
        <w:ind w:firstLineChars="200" w:firstLine="643"/>
        <w:rPr>
          <w:rFonts w:eastAsia="仿宋_GB2312" w:cs="Times New Roman"/>
          <w:sz w:val="32"/>
          <w:szCs w:val="32"/>
        </w:rPr>
      </w:pPr>
      <w:r>
        <w:rPr>
          <w:rFonts w:eastAsia="仿宋_GB2312" w:cs="仿宋_GB2312" w:hint="eastAsia"/>
          <w:b/>
          <w:bCs/>
          <w:sz w:val="32"/>
          <w:szCs w:val="32"/>
        </w:rPr>
        <w:t>第二十一条</w:t>
      </w:r>
      <w:r>
        <w:rPr>
          <w:rFonts w:eastAsia="仿宋_GB2312" w:cs="仿宋_GB2312"/>
          <w:b/>
          <w:bCs/>
          <w:sz w:val="32"/>
          <w:szCs w:val="32"/>
        </w:rPr>
        <w:t xml:space="preserve"> </w:t>
      </w:r>
      <w:r>
        <w:rPr>
          <w:rFonts w:eastAsia="仿宋_GB2312" w:cs="仿宋_GB2312" w:hint="eastAsia"/>
          <w:sz w:val="32"/>
          <w:szCs w:val="32"/>
        </w:rPr>
        <w:t>市财政局对市级部门绩效评价结果应用情况进行监督。对绩效评价结果中发现的财政违法问题，依照《中华人民共和国预算法》等有关规定进行处理处罚，发现的其他问题及时移交相关部门，作为追究问责的依据。</w:t>
      </w:r>
    </w:p>
    <w:p w:rsidR="00F33716" w:rsidRDefault="00F33716">
      <w:pPr>
        <w:spacing w:line="600" w:lineRule="exact"/>
        <w:jc w:val="center"/>
        <w:rPr>
          <w:rFonts w:ascii="黑体" w:eastAsia="黑体" w:hAnsi="黑体" w:cs="Times New Roman"/>
          <w:sz w:val="32"/>
          <w:szCs w:val="32"/>
        </w:rPr>
      </w:pPr>
      <w:r>
        <w:rPr>
          <w:rFonts w:ascii="黑体" w:eastAsia="黑体" w:hAnsi="黑体" w:cs="黑体" w:hint="eastAsia"/>
          <w:sz w:val="32"/>
          <w:szCs w:val="32"/>
        </w:rPr>
        <w:t>第七章</w:t>
      </w:r>
      <w:r>
        <w:rPr>
          <w:rFonts w:ascii="黑体" w:eastAsia="黑体" w:hAnsi="黑体" w:cs="黑体"/>
          <w:sz w:val="32"/>
          <w:szCs w:val="32"/>
        </w:rPr>
        <w:t xml:space="preserve"> </w:t>
      </w:r>
      <w:r>
        <w:rPr>
          <w:rFonts w:ascii="黑体" w:eastAsia="黑体" w:hAnsi="黑体" w:cs="黑体" w:hint="eastAsia"/>
          <w:sz w:val="32"/>
          <w:szCs w:val="32"/>
        </w:rPr>
        <w:t>附则</w:t>
      </w:r>
    </w:p>
    <w:p w:rsidR="00F33716" w:rsidRDefault="00F33716">
      <w:pPr>
        <w:spacing w:line="600" w:lineRule="exact"/>
        <w:ind w:firstLineChars="200" w:firstLine="643"/>
        <w:rPr>
          <w:rFonts w:eastAsia="仿宋_GB2312" w:cs="Times New Roman"/>
          <w:sz w:val="32"/>
          <w:szCs w:val="32"/>
        </w:rPr>
      </w:pPr>
      <w:r>
        <w:rPr>
          <w:rFonts w:eastAsia="仿宋_GB2312" w:cs="仿宋_GB2312" w:hint="eastAsia"/>
          <w:b/>
          <w:bCs/>
          <w:sz w:val="32"/>
          <w:szCs w:val="32"/>
        </w:rPr>
        <w:t>第二十二条</w:t>
      </w:r>
      <w:r>
        <w:rPr>
          <w:rFonts w:eastAsia="仿宋_GB2312" w:cs="仿宋_GB2312"/>
          <w:b/>
          <w:bCs/>
          <w:sz w:val="32"/>
          <w:szCs w:val="32"/>
        </w:rPr>
        <w:t xml:space="preserve"> </w:t>
      </w:r>
      <w:r>
        <w:rPr>
          <w:rFonts w:eastAsia="仿宋_GB2312" w:cs="仿宋_GB2312" w:hint="eastAsia"/>
          <w:sz w:val="32"/>
          <w:szCs w:val="32"/>
        </w:rPr>
        <w:t>市级部门可结合本部门实际，制定具体实施细则。</w:t>
      </w:r>
    </w:p>
    <w:p w:rsidR="00F33716" w:rsidRDefault="00F33716">
      <w:pPr>
        <w:spacing w:line="600" w:lineRule="exact"/>
        <w:ind w:firstLineChars="200" w:firstLine="643"/>
        <w:rPr>
          <w:rFonts w:eastAsia="仿宋_GB2312" w:cs="仿宋_GB2312"/>
          <w:sz w:val="32"/>
          <w:szCs w:val="32"/>
        </w:rPr>
      </w:pPr>
      <w:r>
        <w:rPr>
          <w:rFonts w:eastAsia="仿宋_GB2312" w:cs="仿宋_GB2312" w:hint="eastAsia"/>
          <w:b/>
          <w:bCs/>
          <w:sz w:val="32"/>
          <w:szCs w:val="32"/>
        </w:rPr>
        <w:t>第二十三条</w:t>
      </w:r>
      <w:r>
        <w:rPr>
          <w:rFonts w:eastAsia="仿宋_GB2312" w:cs="仿宋_GB2312"/>
          <w:b/>
          <w:bCs/>
          <w:sz w:val="32"/>
          <w:szCs w:val="32"/>
        </w:rPr>
        <w:t xml:space="preserve"> </w:t>
      </w:r>
      <w:r>
        <w:rPr>
          <w:rFonts w:eastAsia="仿宋_GB2312" w:cs="仿宋_GB2312" w:hint="eastAsia"/>
          <w:sz w:val="32"/>
          <w:szCs w:val="32"/>
        </w:rPr>
        <w:t>本办法由南阳市财政局负责解释。</w:t>
      </w:r>
    </w:p>
    <w:p w:rsidR="00F33716" w:rsidRDefault="00F33716">
      <w:pPr>
        <w:spacing w:line="600" w:lineRule="exact"/>
        <w:ind w:firstLineChars="200" w:firstLine="643"/>
        <w:rPr>
          <w:rFonts w:eastAsia="仿宋_GB2312" w:cs="Times New Roman"/>
          <w:sz w:val="32"/>
          <w:szCs w:val="32"/>
        </w:rPr>
      </w:pPr>
      <w:r>
        <w:rPr>
          <w:rFonts w:eastAsia="仿宋_GB2312" w:cs="仿宋_GB2312" w:hint="eastAsia"/>
          <w:b/>
          <w:bCs/>
          <w:sz w:val="32"/>
          <w:szCs w:val="32"/>
        </w:rPr>
        <w:t>第二十四条</w:t>
      </w:r>
      <w:r>
        <w:rPr>
          <w:rFonts w:eastAsia="仿宋_GB2312" w:cs="仿宋_GB2312"/>
          <w:b/>
          <w:bCs/>
          <w:sz w:val="32"/>
          <w:szCs w:val="32"/>
        </w:rPr>
        <w:t xml:space="preserve"> </w:t>
      </w:r>
      <w:r>
        <w:rPr>
          <w:rFonts w:eastAsia="仿宋_GB2312" w:cs="仿宋_GB2312" w:hint="eastAsia"/>
          <w:sz w:val="32"/>
          <w:szCs w:val="32"/>
        </w:rPr>
        <w:t>本办法自印发之日起施行。</w:t>
      </w:r>
    </w:p>
    <w:p w:rsidR="00F33716" w:rsidRDefault="00F33716">
      <w:pPr>
        <w:spacing w:line="600" w:lineRule="exact"/>
        <w:ind w:firstLineChars="200" w:firstLine="640"/>
        <w:rPr>
          <w:rFonts w:eastAsia="仿宋_GB2312" w:cs="仿宋_GB2312"/>
          <w:sz w:val="32"/>
          <w:szCs w:val="32"/>
        </w:rPr>
      </w:pPr>
    </w:p>
    <w:p w:rsidR="00F33716" w:rsidRDefault="00F33716">
      <w:pPr>
        <w:spacing w:line="600" w:lineRule="exact"/>
        <w:ind w:firstLineChars="200" w:firstLine="640"/>
        <w:rPr>
          <w:rFonts w:ascii="仿宋_GB2312" w:eastAsia="仿宋_GB2312" w:cs="Times New Roman"/>
          <w:sz w:val="32"/>
          <w:szCs w:val="32"/>
        </w:rPr>
      </w:pPr>
    </w:p>
    <w:sectPr w:rsidR="00F33716" w:rsidSect="001046F8">
      <w:headerReference w:type="default" r:id="rId6"/>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716" w:rsidRDefault="00F33716" w:rsidP="005C3145">
      <w:r>
        <w:separator/>
      </w:r>
    </w:p>
  </w:endnote>
  <w:endnote w:type="continuationSeparator" w:id="0">
    <w:p w:rsidR="00F33716" w:rsidRDefault="00F33716" w:rsidP="005C31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方正小标宋简体">
    <w:altName w:val="黑体"/>
    <w:panose1 w:val="00000000000000000000"/>
    <w:charset w:val="86"/>
    <w:family w:val="script"/>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altName w:val="宋体"/>
    <w:panose1 w:val="00000000000000000000"/>
    <w:charset w:val="86"/>
    <w:family w:val="roman"/>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仿宋">
    <w:altName w:val="仿宋"/>
    <w:panose1 w:val="00000000000000000000"/>
    <w:charset w:val="86"/>
    <w:family w:val="auto"/>
    <w:notTrueType/>
    <w:pitch w:val="default"/>
    <w:sig w:usb0="00000287" w:usb1="080E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716" w:rsidRDefault="00F33716" w:rsidP="001046F8">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F33716" w:rsidRDefault="00F33716" w:rsidP="001046F8">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716" w:rsidRDefault="00F33716" w:rsidP="006B31A2">
    <w:pPr>
      <w:pStyle w:val="Footer"/>
      <w:framePr w:wrap="around" w:vAnchor="text" w:hAnchor="margin" w:xAlign="outside" w:y="1"/>
      <w:rPr>
        <w:rStyle w:val="PageNumber"/>
      </w:rPr>
    </w:pPr>
    <w:r w:rsidRPr="001046F8">
      <w:rPr>
        <w:rStyle w:val="PageNumber"/>
        <w:rFonts w:ascii="仿宋_GB2312" w:eastAsia="仿宋_GB2312"/>
        <w:sz w:val="24"/>
        <w:szCs w:val="24"/>
      </w:rPr>
      <w:fldChar w:fldCharType="begin"/>
    </w:r>
    <w:r w:rsidRPr="001046F8">
      <w:rPr>
        <w:rStyle w:val="PageNumber"/>
        <w:rFonts w:ascii="仿宋_GB2312" w:eastAsia="仿宋_GB2312"/>
        <w:sz w:val="24"/>
        <w:szCs w:val="24"/>
      </w:rPr>
      <w:instrText xml:space="preserve">PAGE  </w:instrText>
    </w:r>
    <w:r w:rsidRPr="001046F8">
      <w:rPr>
        <w:rStyle w:val="PageNumber"/>
        <w:rFonts w:ascii="仿宋_GB2312" w:eastAsia="仿宋_GB2312"/>
        <w:sz w:val="24"/>
        <w:szCs w:val="24"/>
      </w:rPr>
      <w:fldChar w:fldCharType="separate"/>
    </w:r>
    <w:r>
      <w:rPr>
        <w:rStyle w:val="PageNumber"/>
        <w:rFonts w:ascii="仿宋_GB2312" w:eastAsia="仿宋_GB2312"/>
        <w:noProof/>
        <w:sz w:val="24"/>
        <w:szCs w:val="24"/>
      </w:rPr>
      <w:t>- 2 -</w:t>
    </w:r>
    <w:r w:rsidRPr="001046F8">
      <w:rPr>
        <w:rStyle w:val="PageNumber"/>
        <w:rFonts w:ascii="仿宋_GB2312" w:eastAsia="仿宋_GB2312"/>
        <w:sz w:val="24"/>
        <w:szCs w:val="24"/>
      </w:rPr>
      <w:fldChar w:fldCharType="end"/>
    </w:r>
  </w:p>
  <w:p w:rsidR="00F33716" w:rsidRDefault="00F33716" w:rsidP="001046F8">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716" w:rsidRDefault="00F33716" w:rsidP="005C3145">
      <w:r>
        <w:separator/>
      </w:r>
    </w:p>
  </w:footnote>
  <w:footnote w:type="continuationSeparator" w:id="0">
    <w:p w:rsidR="00F33716" w:rsidRDefault="00F33716" w:rsidP="005C31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716" w:rsidRDefault="00F33716" w:rsidP="001046F8">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0431"/>
    <w:rsid w:val="00022441"/>
    <w:rsid w:val="000504E8"/>
    <w:rsid w:val="000657BC"/>
    <w:rsid w:val="000901F4"/>
    <w:rsid w:val="000A23B7"/>
    <w:rsid w:val="000A69F3"/>
    <w:rsid w:val="000B368C"/>
    <w:rsid w:val="000D26FF"/>
    <w:rsid w:val="000D6018"/>
    <w:rsid w:val="001046F8"/>
    <w:rsid w:val="001311C8"/>
    <w:rsid w:val="00192ED2"/>
    <w:rsid w:val="001A0588"/>
    <w:rsid w:val="001B36B3"/>
    <w:rsid w:val="001B566B"/>
    <w:rsid w:val="001E0039"/>
    <w:rsid w:val="001E2066"/>
    <w:rsid w:val="001F24A7"/>
    <w:rsid w:val="002735A4"/>
    <w:rsid w:val="00295557"/>
    <w:rsid w:val="00295D41"/>
    <w:rsid w:val="002A22C5"/>
    <w:rsid w:val="002A6066"/>
    <w:rsid w:val="002D11BA"/>
    <w:rsid w:val="002E1F72"/>
    <w:rsid w:val="00332650"/>
    <w:rsid w:val="00364092"/>
    <w:rsid w:val="00374835"/>
    <w:rsid w:val="00374C09"/>
    <w:rsid w:val="00376A7C"/>
    <w:rsid w:val="00386540"/>
    <w:rsid w:val="003A25DD"/>
    <w:rsid w:val="003B61E8"/>
    <w:rsid w:val="003D00CD"/>
    <w:rsid w:val="003E091A"/>
    <w:rsid w:val="003F3BFF"/>
    <w:rsid w:val="004324F9"/>
    <w:rsid w:val="00440C9B"/>
    <w:rsid w:val="00455E4D"/>
    <w:rsid w:val="004875E9"/>
    <w:rsid w:val="004E00A3"/>
    <w:rsid w:val="0050351D"/>
    <w:rsid w:val="00504F65"/>
    <w:rsid w:val="005062F3"/>
    <w:rsid w:val="005279D8"/>
    <w:rsid w:val="0055552C"/>
    <w:rsid w:val="00570F1E"/>
    <w:rsid w:val="00571ED3"/>
    <w:rsid w:val="00596584"/>
    <w:rsid w:val="00597C29"/>
    <w:rsid w:val="005A3615"/>
    <w:rsid w:val="005B1F66"/>
    <w:rsid w:val="005C3145"/>
    <w:rsid w:val="0067094A"/>
    <w:rsid w:val="00671807"/>
    <w:rsid w:val="006859D2"/>
    <w:rsid w:val="00685EE1"/>
    <w:rsid w:val="006B31A2"/>
    <w:rsid w:val="006E4B1F"/>
    <w:rsid w:val="006F52F5"/>
    <w:rsid w:val="0070522A"/>
    <w:rsid w:val="00726755"/>
    <w:rsid w:val="007820E2"/>
    <w:rsid w:val="007B1F86"/>
    <w:rsid w:val="007C3F10"/>
    <w:rsid w:val="007D2026"/>
    <w:rsid w:val="007E1543"/>
    <w:rsid w:val="007E3B3B"/>
    <w:rsid w:val="007F1B23"/>
    <w:rsid w:val="00823301"/>
    <w:rsid w:val="00844524"/>
    <w:rsid w:val="0087194A"/>
    <w:rsid w:val="00873E79"/>
    <w:rsid w:val="00874809"/>
    <w:rsid w:val="00895CA7"/>
    <w:rsid w:val="008B1C5B"/>
    <w:rsid w:val="008C3D99"/>
    <w:rsid w:val="009039ED"/>
    <w:rsid w:val="00920DF1"/>
    <w:rsid w:val="009664B2"/>
    <w:rsid w:val="00973C55"/>
    <w:rsid w:val="00974ECF"/>
    <w:rsid w:val="0099262C"/>
    <w:rsid w:val="009E7CDE"/>
    <w:rsid w:val="00A73EA9"/>
    <w:rsid w:val="00A81AEE"/>
    <w:rsid w:val="00A94E43"/>
    <w:rsid w:val="00AD7357"/>
    <w:rsid w:val="00B01780"/>
    <w:rsid w:val="00B23D89"/>
    <w:rsid w:val="00B955E9"/>
    <w:rsid w:val="00BD2549"/>
    <w:rsid w:val="00CC67EE"/>
    <w:rsid w:val="00CE009C"/>
    <w:rsid w:val="00CE07C2"/>
    <w:rsid w:val="00CE0C10"/>
    <w:rsid w:val="00CE30A6"/>
    <w:rsid w:val="00D1701A"/>
    <w:rsid w:val="00D2161E"/>
    <w:rsid w:val="00D2470D"/>
    <w:rsid w:val="00D30F86"/>
    <w:rsid w:val="00D47C81"/>
    <w:rsid w:val="00DA066D"/>
    <w:rsid w:val="00DB646D"/>
    <w:rsid w:val="00E304ED"/>
    <w:rsid w:val="00F07BFF"/>
    <w:rsid w:val="00F10431"/>
    <w:rsid w:val="00F33716"/>
    <w:rsid w:val="00F54DDD"/>
    <w:rsid w:val="00F571BB"/>
    <w:rsid w:val="00FA5735"/>
    <w:rsid w:val="00FA5F63"/>
    <w:rsid w:val="00FC0415"/>
    <w:rsid w:val="00FD45C9"/>
    <w:rsid w:val="00FF4552"/>
    <w:rsid w:val="0765160F"/>
    <w:rsid w:val="0FA11F64"/>
    <w:rsid w:val="12C0550B"/>
    <w:rsid w:val="1F8C706F"/>
    <w:rsid w:val="25A14B01"/>
    <w:rsid w:val="2E73583C"/>
    <w:rsid w:val="307570F8"/>
    <w:rsid w:val="3B482343"/>
    <w:rsid w:val="47061038"/>
    <w:rsid w:val="48356A9C"/>
    <w:rsid w:val="4A813F95"/>
    <w:rsid w:val="58704F47"/>
    <w:rsid w:val="58B91991"/>
    <w:rsid w:val="6D7204CE"/>
    <w:rsid w:val="6DE22744"/>
    <w:rsid w:val="72C66085"/>
    <w:rsid w:val="75CB6E1F"/>
    <w:rsid w:val="7BE1523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145"/>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C3145"/>
    <w:pPr>
      <w:tabs>
        <w:tab w:val="center" w:pos="4153"/>
        <w:tab w:val="right" w:pos="8306"/>
      </w:tabs>
      <w:snapToGrid w:val="0"/>
      <w:jc w:val="left"/>
    </w:pPr>
    <w:rPr>
      <w:rFonts w:cs="Times New Roman"/>
      <w:kern w:val="0"/>
      <w:sz w:val="18"/>
      <w:szCs w:val="18"/>
    </w:rPr>
  </w:style>
  <w:style w:type="character" w:customStyle="1" w:styleId="FooterChar">
    <w:name w:val="Footer Char"/>
    <w:basedOn w:val="DefaultParagraphFont"/>
    <w:link w:val="Footer"/>
    <w:uiPriority w:val="99"/>
    <w:locked/>
    <w:rsid w:val="005C3145"/>
    <w:rPr>
      <w:sz w:val="18"/>
    </w:rPr>
  </w:style>
  <w:style w:type="paragraph" w:styleId="Header">
    <w:name w:val="header"/>
    <w:basedOn w:val="Normal"/>
    <w:link w:val="HeaderChar"/>
    <w:uiPriority w:val="99"/>
    <w:rsid w:val="005C3145"/>
    <w:pPr>
      <w:pBdr>
        <w:bottom w:val="single" w:sz="6" w:space="1" w:color="auto"/>
      </w:pBdr>
      <w:tabs>
        <w:tab w:val="center" w:pos="4153"/>
        <w:tab w:val="right" w:pos="8306"/>
      </w:tabs>
      <w:snapToGrid w:val="0"/>
      <w:jc w:val="center"/>
    </w:pPr>
    <w:rPr>
      <w:rFonts w:cs="Times New Roman"/>
      <w:kern w:val="0"/>
      <w:sz w:val="18"/>
      <w:szCs w:val="18"/>
    </w:rPr>
  </w:style>
  <w:style w:type="character" w:customStyle="1" w:styleId="HeaderChar">
    <w:name w:val="Header Char"/>
    <w:basedOn w:val="DefaultParagraphFont"/>
    <w:link w:val="Header"/>
    <w:uiPriority w:val="99"/>
    <w:locked/>
    <w:rsid w:val="005C3145"/>
    <w:rPr>
      <w:sz w:val="18"/>
    </w:rPr>
  </w:style>
  <w:style w:type="paragraph" w:styleId="NormalWeb">
    <w:name w:val="Normal (Web)"/>
    <w:basedOn w:val="Normal"/>
    <w:uiPriority w:val="99"/>
    <w:rsid w:val="005C3145"/>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locked/>
    <w:rsid w:val="005C3145"/>
    <w:rPr>
      <w:rFonts w:cs="Times New Roman"/>
      <w:b/>
    </w:rPr>
  </w:style>
  <w:style w:type="character" w:styleId="PageNumber">
    <w:name w:val="page number"/>
    <w:basedOn w:val="DefaultParagraphFont"/>
    <w:uiPriority w:val="99"/>
    <w:rsid w:val="001046F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5</Pages>
  <Words>344</Words>
  <Characters>1962</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dc:creator>
  <cp:keywords/>
  <dc:description/>
  <cp:lastModifiedBy>User</cp:lastModifiedBy>
  <cp:revision>51</cp:revision>
  <cp:lastPrinted>2020-11-13T07:05:00Z</cp:lastPrinted>
  <dcterms:created xsi:type="dcterms:W3CDTF">2017-09-08T10:33:00Z</dcterms:created>
  <dcterms:modified xsi:type="dcterms:W3CDTF">2020-12-31T01:45:00Z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